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F9" w:rsidRPr="004D3F7D" w:rsidRDefault="006D7EF9" w:rsidP="006D7EF9">
      <w:pPr>
        <w:shd w:val="clear" w:color="auto" w:fill="FFFFFF"/>
        <w:autoSpaceDE w:val="0"/>
        <w:autoSpaceDN w:val="0"/>
        <w:adjustRightInd w:val="0"/>
        <w:spacing w:after="0" w:line="240" w:lineRule="auto"/>
        <w:ind w:right="-314" w:hanging="42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4D3F7D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для дистанційного навчання студентів</w:t>
      </w:r>
    </w:p>
    <w:p w:rsidR="006D7EF9" w:rsidRPr="004D3F7D" w:rsidRDefault="006D7EF9" w:rsidP="006D7EF9">
      <w:pPr>
        <w:shd w:val="clear" w:color="auto" w:fill="FFFFFF"/>
        <w:autoSpaceDE w:val="0"/>
        <w:autoSpaceDN w:val="0"/>
        <w:adjustRightInd w:val="0"/>
        <w:spacing w:after="0" w:line="240" w:lineRule="auto"/>
        <w:ind w:right="252" w:hanging="42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16 по 21 березня 2020 року</w:t>
      </w:r>
    </w:p>
    <w:p w:rsidR="006D7EF9" w:rsidRDefault="006D7EF9" w:rsidP="006D7EF9">
      <w:pPr>
        <w:shd w:val="clear" w:color="auto" w:fill="FFFFFF"/>
        <w:autoSpaceDE w:val="0"/>
        <w:autoSpaceDN w:val="0"/>
        <w:adjustRightInd w:val="0"/>
        <w:spacing w:after="0" w:line="240" w:lineRule="auto"/>
        <w:ind w:right="252" w:hanging="42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Група 31-О</w:t>
      </w:r>
    </w:p>
    <w:p w:rsidR="006D7EF9" w:rsidRPr="004D3F7D" w:rsidRDefault="006D7EF9" w:rsidP="006D7EF9">
      <w:pPr>
        <w:shd w:val="clear" w:color="auto" w:fill="FFFFFF"/>
        <w:autoSpaceDE w:val="0"/>
        <w:autoSpaceDN w:val="0"/>
        <w:adjustRightInd w:val="0"/>
        <w:spacing w:after="0" w:line="240" w:lineRule="auto"/>
        <w:ind w:right="252" w:hanging="426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3F7D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ласний к</w:t>
      </w:r>
      <w:r w:rsidRPr="004D3F7D">
        <w:rPr>
          <w:rFonts w:ascii="Times New Roman" w:hAnsi="Times New Roman"/>
          <w:color w:val="000000"/>
          <w:sz w:val="28"/>
          <w:szCs w:val="28"/>
          <w:lang w:val="uk-UA"/>
        </w:rPr>
        <w:t>ерівник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D3F7D">
        <w:rPr>
          <w:rFonts w:ascii="Times New Roman" w:hAnsi="Times New Roman"/>
          <w:color w:val="000000"/>
          <w:sz w:val="28"/>
          <w:szCs w:val="28"/>
          <w:lang w:val="uk-UA"/>
        </w:rPr>
        <w:t>Забіяка І.О.</w:t>
      </w:r>
    </w:p>
    <w:p w:rsidR="006D7EF9" w:rsidRPr="00447211" w:rsidRDefault="006D7EF9" w:rsidP="006D7EF9">
      <w:pPr>
        <w:shd w:val="clear" w:color="auto" w:fill="FFFFFF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09"/>
        <w:gridCol w:w="6804"/>
        <w:gridCol w:w="3119"/>
      </w:tblGrid>
      <w:tr w:rsidR="006D7EF9" w:rsidRPr="00601EC5" w:rsidTr="00E32DAE">
        <w:trPr>
          <w:trHeight w:val="437"/>
        </w:trPr>
        <w:tc>
          <w:tcPr>
            <w:tcW w:w="2978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Предмет / н</w:t>
            </w:r>
            <w:r w:rsidRPr="004D3F7D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4D3F7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ль</w:t>
            </w:r>
            <w:r w:rsidRPr="004D3F7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D3F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40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804" w:type="dxa"/>
            <w:vAlign w:val="center"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F7D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11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Завд</w:t>
            </w:r>
            <w:r w:rsidRPr="004D3F7D">
              <w:rPr>
                <w:rFonts w:ascii="Times New Roman" w:hAnsi="Times New Roman"/>
                <w:sz w:val="28"/>
                <w:szCs w:val="28"/>
                <w:lang w:val="uk-UA"/>
              </w:rPr>
              <w:t>ання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Технічна експлуатація залізниць і безпека руху</w:t>
            </w:r>
          </w:p>
        </w:tc>
        <w:tc>
          <w:tcPr>
            <w:tcW w:w="240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Багіянц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6804" w:type="dxa"/>
            <w:vAlign w:val="center"/>
            <w:hideMark/>
          </w:tcPr>
          <w:p w:rsidR="006D7EF9" w:rsidRDefault="006D7EF9" w:rsidP="00E32D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A02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Тема 1. 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Загальні положення з руху поїздів.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Обов'язки </w:t>
            </w:r>
            <w:r w:rsidRPr="007127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ДСП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перед вступом на чергування.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Регламент передачі розпоряджень </w:t>
            </w:r>
            <w:r w:rsidRPr="007127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ДСП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приготування маршрутів,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риймання та відправлення при різних системах управління стрілками і сигналами.</w:t>
            </w:r>
          </w:p>
          <w:p w:rsidR="006D7EF9" w:rsidRDefault="006D7EF9" w:rsidP="00E32D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Порядок контролю </w:t>
            </w:r>
            <w:r w:rsidRPr="007127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ДСП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правильності виконання діючих розпоряджень. </w:t>
            </w:r>
          </w:p>
          <w:p w:rsidR="006D7EF9" w:rsidRPr="00BA0256" w:rsidRDefault="006D7EF9" w:rsidP="00E32DAE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color w:val="222222"/>
                <w:sz w:val="24"/>
                <w:szCs w:val="24"/>
                <w:lang w:val="uk-UA"/>
              </w:rPr>
            </w:pP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Порядок приймання поїздів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станції. Обов'язки і відповідальність ДСП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абезпеченням </w:t>
            </w:r>
            <w:proofErr w:type="spellStart"/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безперебій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ного</w:t>
            </w:r>
            <w:proofErr w:type="spellEnd"/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 безпечного приймання поїздів.</w:t>
            </w:r>
          </w:p>
          <w:p w:rsidR="006D7EF9" w:rsidRPr="004D3F7D" w:rsidRDefault="006D7EF9" w:rsidP="00E32D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Порядок приготування і охорони маршруту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прийман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</w:t>
            </w:r>
            <w:proofErr w:type="spellEnd"/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поїзда, перевірка прибуття поїзда у повному складі і постановка його в межах граничних стовпчиків при різних засобах сигналізації та зв'язку.</w:t>
            </w:r>
          </w:p>
        </w:tc>
        <w:tc>
          <w:tcPr>
            <w:tcW w:w="3119" w:type="dxa"/>
            <w:vAlign w:val="center"/>
            <w:hideMark/>
          </w:tcPr>
          <w:p w:rsidR="006D7EF9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9B1">
              <w:rPr>
                <w:rFonts w:ascii="Times New Roman" w:hAnsi="Times New Roman"/>
                <w:sz w:val="28"/>
                <w:szCs w:val="28"/>
                <w:lang w:val="uk-UA"/>
              </w:rPr>
              <w:t>Інструкція з руху поїздів і маневрової роботи на залізницях України. – К. : Дельта, 2005.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ІРП )</w:t>
            </w:r>
          </w:p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0256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п. 4.14-4.17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6D7EF9" w:rsidRPr="00BA0256" w:rsidRDefault="006D7EF9" w:rsidP="00E32DAE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BA02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Тема 2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Загальні положення з приймання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відправлення поїздів.</w:t>
            </w:r>
          </w:p>
          <w:p w:rsidR="006D7EF9" w:rsidRPr="00BA0256" w:rsidRDefault="006D7EF9" w:rsidP="00E32DAE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Приймання та відправлення поїздів на колію або 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колії, які не передбачені для цього ТРА станції.</w:t>
            </w:r>
          </w:p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Порядок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перевірки вільності колії перед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прийманням поїзду. Регламент переговорів про приготування маршруту. Порядок зустрічі поїздів. Порядок приймання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поїзду з небезпечним і негабаритними вантажами.</w:t>
            </w:r>
          </w:p>
        </w:tc>
        <w:tc>
          <w:tcPr>
            <w:tcW w:w="3119" w:type="dxa"/>
            <w:vAlign w:val="center"/>
            <w:hideMark/>
          </w:tcPr>
          <w:p w:rsidR="006D7EF9" w:rsidRPr="00FE0CE9" w:rsidRDefault="006D7EF9" w:rsidP="00E32DAE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4"/>
                <w:szCs w:val="24"/>
                <w:lang w:val="uk-UA"/>
              </w:rPr>
            </w:pPr>
            <w:r w:rsidRPr="007A29B1">
              <w:rPr>
                <w:rFonts w:ascii="Times New Roman" w:hAnsi="Times New Roman"/>
                <w:sz w:val="28"/>
                <w:szCs w:val="28"/>
                <w:lang w:val="uk-UA"/>
              </w:rPr>
              <w:t>Інструкція з руху поїздів і маневрової роботи на залізницях України. – К. : Дельта, 2005.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ІРП )</w:t>
            </w:r>
          </w:p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0256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п. 4.1-4.1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3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tcBorders>
              <w:bottom w:val="nil"/>
            </w:tcBorders>
            <w:vAlign w:val="center"/>
            <w:hideMark/>
          </w:tcPr>
          <w:p w:rsidR="006D7EF9" w:rsidRPr="00601EC5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409" w:type="dxa"/>
            <w:tcBorders>
              <w:bottom w:val="nil"/>
            </w:tcBorders>
            <w:vAlign w:val="center"/>
            <w:hideMark/>
          </w:tcPr>
          <w:p w:rsidR="006D7EF9" w:rsidRPr="00601EC5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tcBorders>
              <w:bottom w:val="nil"/>
            </w:tcBorders>
            <w:vAlign w:val="center"/>
            <w:hideMark/>
          </w:tcPr>
          <w:p w:rsidR="006D7EF9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  <w:vAlign w:val="center"/>
            <w:hideMark/>
          </w:tcPr>
          <w:p w:rsidR="006D7EF9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409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Гуторова</w:t>
            </w:r>
            <w:proofErr w:type="spellEnd"/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6804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безпеки на залізничних коліях. Заходи безпеки на швидкісних та електрифікованих ділянках.</w:t>
            </w:r>
          </w:p>
        </w:tc>
        <w:tc>
          <w:tcPr>
            <w:tcW w:w="3119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Кобець О.В. Основи охорони праці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заліз-ничному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транспорті. К.: Дельта, 2008.  с.333-339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руху поїздів</w:t>
            </w:r>
          </w:p>
        </w:tc>
        <w:tc>
          <w:tcPr>
            <w:tcW w:w="2409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6804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Вибір оптимального варіанту прокладки збірних поїздів.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bottom w:val="nil"/>
            </w:tcBorders>
            <w:vAlign w:val="center"/>
            <w:hideMark/>
          </w:tcPr>
          <w:p w:rsidR="006D7EF9" w:rsidRPr="00601EC5" w:rsidRDefault="006D7EF9" w:rsidP="00E32DA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Закінчити розрахунки показників місцевої роботи в практичній роботі 7. Оформити звіт.</w:t>
            </w:r>
          </w:p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Виконати самостійні роботи 23, 24, 25.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вантажної і комерційної роботи</w:t>
            </w:r>
          </w:p>
        </w:tc>
        <w:tc>
          <w:tcPr>
            <w:tcW w:w="2409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6804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Перевезення небезпечних вантажів. Міжнародні та національні правила, що регламентують перевезення небезпечних вантажів. Класифікація небезпечних вантажів. Маркування знаками небезпеки транспортних засобів.</w:t>
            </w:r>
          </w:p>
        </w:tc>
        <w:tc>
          <w:tcPr>
            <w:tcW w:w="3119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Гревцов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В. та ін.. Організація вантажної і комерційної роботи. ІІ частина. К. : Дельта, 2008.   с.144-150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tcBorders>
              <w:bottom w:val="nil"/>
            </w:tcBorders>
            <w:vAlign w:val="center"/>
            <w:hideMark/>
          </w:tcPr>
          <w:p w:rsidR="006D7EF9" w:rsidRPr="00BE31AC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Перевезення наливних вантажів. Характеристика наливних вантажів. Технічні засоби для перевезення і збереження наливних вантажів: склади нафтопродуктів, рухомий склад, наливні і зливні естакади.</w:t>
            </w:r>
          </w:p>
        </w:tc>
        <w:tc>
          <w:tcPr>
            <w:tcW w:w="3119" w:type="dxa"/>
            <w:tcBorders>
              <w:bottom w:val="nil"/>
            </w:tcBorders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Гревцов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В. та ін.. Організація вантажної і комерційної роботи. ІІ частина. К. : Дельта, 2008.   с.161-172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Системи регулювання рухом на залізничному транспорті </w:t>
            </w:r>
          </w:p>
        </w:tc>
        <w:tc>
          <w:tcPr>
            <w:tcW w:w="240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Пєтухова О.В.</w:t>
            </w:r>
          </w:p>
        </w:tc>
        <w:tc>
          <w:tcPr>
            <w:tcW w:w="6804" w:type="dxa"/>
            <w:vAlign w:val="center"/>
            <w:hideMark/>
          </w:tcPr>
          <w:p w:rsidR="006D7EF9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Диспетчерська централізація.</w:t>
            </w:r>
          </w:p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таблицю індексації на табло ЧДЦ при наборі маршрутів прийому і відправлення на пульт-маніпуляторі.</w:t>
            </w:r>
          </w:p>
        </w:tc>
        <w:tc>
          <w:tcPr>
            <w:tcW w:w="3119" w:type="dxa"/>
            <w:vAlign w:val="center"/>
            <w:hideMark/>
          </w:tcPr>
          <w:p w:rsidR="006D7EF9" w:rsidRPr="00E83F3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Устройства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автоматики, телемеханіки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связи на ж. 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Транспорт, 1983.  с.207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Диспетчерський контроль за рухом поїздів. </w:t>
            </w:r>
          </w:p>
        </w:tc>
        <w:tc>
          <w:tcPr>
            <w:tcW w:w="311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Устройства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автоматики, телемеханіки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связи на ж.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те.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1983.  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106-110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6D7EF9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:rsidR="006D7EF9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:rsidR="006D7EF9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6D7EF9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філософських знань</w:t>
            </w:r>
          </w:p>
        </w:tc>
        <w:tc>
          <w:tcPr>
            <w:tcW w:w="240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Супрун Л.П.</w:t>
            </w:r>
          </w:p>
        </w:tc>
        <w:tc>
          <w:tcPr>
            <w:tcW w:w="6804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Філософська думка в Україні. </w:t>
            </w:r>
          </w:p>
        </w:tc>
        <w:tc>
          <w:tcPr>
            <w:tcW w:w="311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Причепій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Є.М. Філософія. К.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Академвидав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2006.  с.201-208,225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пасажирських перевезень</w:t>
            </w:r>
          </w:p>
        </w:tc>
        <w:tc>
          <w:tcPr>
            <w:tcW w:w="240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Багіянц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6804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Зберігання та перевезення ручної поклажі, багажу, вантажобагажу. Загальні поняття. Багажні тарифи та збори.</w:t>
            </w:r>
          </w:p>
        </w:tc>
        <w:tc>
          <w:tcPr>
            <w:tcW w:w="3119" w:type="dxa"/>
            <w:vAlign w:val="center"/>
            <w:hideMark/>
          </w:tcPr>
          <w:p w:rsidR="006D7EF9" w:rsidRPr="00601EC5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Бутько</w:t>
            </w:r>
            <w:proofErr w:type="spellEnd"/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 Пасажирські перевезення </w:t>
            </w:r>
          </w:p>
          <w:p w:rsidR="006D7EF9" w:rsidRPr="00601EC5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Х. : </w:t>
            </w:r>
            <w:proofErr w:type="spellStart"/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Райдер</w:t>
            </w:r>
            <w:proofErr w:type="spellEnd"/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, 2009.</w:t>
            </w:r>
          </w:p>
          <w:p w:rsidR="006D7EF9" w:rsidRPr="007430C1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EC5">
              <w:rPr>
                <w:rFonts w:ascii="Times New Roman" w:hAnsi="Times New Roman"/>
                <w:sz w:val="28"/>
                <w:szCs w:val="28"/>
                <w:lang w:val="uk-UA"/>
              </w:rPr>
              <w:t>с.65-83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стандартизації</w:t>
            </w:r>
          </w:p>
        </w:tc>
        <w:tc>
          <w:tcPr>
            <w:tcW w:w="240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Козлова О.І.</w:t>
            </w:r>
          </w:p>
        </w:tc>
        <w:tc>
          <w:tcPr>
            <w:tcW w:w="6804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Державна і відомча повірка засобів вимірювань. Види повірок. Державні випробування вимірювальної техніки.</w:t>
            </w:r>
          </w:p>
        </w:tc>
        <w:tc>
          <w:tcPr>
            <w:tcW w:w="311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М.І. Основи стандартизації, управління якістю і сертифікація. К. : 2002 с.147-152</w:t>
            </w:r>
          </w:p>
        </w:tc>
      </w:tr>
      <w:tr w:rsidR="006D7EF9" w:rsidRPr="00601EC5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 (за проф. спрямуванням)</w:t>
            </w:r>
          </w:p>
        </w:tc>
        <w:tc>
          <w:tcPr>
            <w:tcW w:w="2409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Т.О.</w:t>
            </w:r>
          </w:p>
        </w:tc>
        <w:tc>
          <w:tcPr>
            <w:tcW w:w="6804" w:type="dxa"/>
            <w:vAlign w:val="center"/>
            <w:hideMark/>
          </w:tcPr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Рухомий склад залізниць.</w:t>
            </w:r>
          </w:p>
        </w:tc>
        <w:tc>
          <w:tcPr>
            <w:tcW w:w="3119" w:type="dxa"/>
            <w:vAlign w:val="center"/>
            <w:hideMark/>
          </w:tcPr>
          <w:p w:rsidR="006D7EF9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</w:t>
            </w:r>
          </w:p>
          <w:p w:rsidR="006D7EF9" w:rsidRPr="004D3F7D" w:rsidRDefault="006D7EF9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с.70-71</w:t>
            </w:r>
          </w:p>
        </w:tc>
      </w:tr>
    </w:tbl>
    <w:p w:rsidR="005D6D05" w:rsidRDefault="005D6D05"/>
    <w:sectPr w:rsidR="005D6D05" w:rsidSect="006D7E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F9"/>
    <w:rsid w:val="005D6D05"/>
    <w:rsid w:val="006D7EF9"/>
    <w:rsid w:val="00740687"/>
    <w:rsid w:val="00D932A8"/>
    <w:rsid w:val="00E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2020-03-18T15:40:00Z</dcterms:created>
  <dcterms:modified xsi:type="dcterms:W3CDTF">2020-03-18T15:41:00Z</dcterms:modified>
</cp:coreProperties>
</file>